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4E" w:rsidRPr="0097555C" w:rsidRDefault="001C5C26" w:rsidP="00594F11">
      <w:pPr>
        <w:spacing w:after="0"/>
        <w:jc w:val="center"/>
        <w:rPr>
          <w:b/>
          <w:color w:val="5B9BD5" w:themeColor="accent1"/>
          <w:sz w:val="32"/>
          <w:szCs w:val="32"/>
        </w:rPr>
      </w:pPr>
      <w:bookmarkStart w:id="0" w:name="_GoBack"/>
      <w:bookmarkEnd w:id="0"/>
      <w:r w:rsidRPr="0097555C">
        <w:rPr>
          <w:b/>
          <w:color w:val="5B9BD5" w:themeColor="accent1"/>
          <w:sz w:val="32"/>
          <w:szCs w:val="32"/>
        </w:rPr>
        <w:t>Policy for Reporting</w:t>
      </w:r>
      <w:r w:rsidR="009750BC" w:rsidRPr="0097555C">
        <w:rPr>
          <w:b/>
          <w:color w:val="5B9BD5" w:themeColor="accent1"/>
          <w:sz w:val="32"/>
          <w:szCs w:val="32"/>
        </w:rPr>
        <w:t xml:space="preserve"> Educational</w:t>
      </w:r>
      <w:r w:rsidRPr="0097555C">
        <w:rPr>
          <w:b/>
          <w:color w:val="5B9BD5" w:themeColor="accent1"/>
          <w:sz w:val="32"/>
          <w:szCs w:val="32"/>
        </w:rPr>
        <w:t xml:space="preserve"> Functioning Level </w:t>
      </w:r>
      <w:r w:rsidR="009750BC" w:rsidRPr="0097555C">
        <w:rPr>
          <w:b/>
          <w:color w:val="5B9BD5" w:themeColor="accent1"/>
          <w:sz w:val="32"/>
          <w:szCs w:val="32"/>
        </w:rPr>
        <w:t>(EFL)</w:t>
      </w:r>
    </w:p>
    <w:p w:rsidR="0031054C" w:rsidRPr="0097555C" w:rsidRDefault="001C5C26" w:rsidP="00594F11">
      <w:pPr>
        <w:spacing w:after="0"/>
        <w:jc w:val="center"/>
        <w:rPr>
          <w:b/>
          <w:color w:val="5B9BD5" w:themeColor="accent1"/>
          <w:sz w:val="32"/>
          <w:szCs w:val="32"/>
        </w:rPr>
      </w:pPr>
      <w:r w:rsidRPr="0097555C">
        <w:rPr>
          <w:b/>
          <w:color w:val="5B9BD5" w:themeColor="accent1"/>
          <w:sz w:val="32"/>
          <w:szCs w:val="32"/>
        </w:rPr>
        <w:t xml:space="preserve">and </w:t>
      </w:r>
      <w:r w:rsidR="009750BC" w:rsidRPr="0097555C">
        <w:rPr>
          <w:b/>
          <w:color w:val="5B9BD5" w:themeColor="accent1"/>
          <w:sz w:val="32"/>
          <w:szCs w:val="32"/>
        </w:rPr>
        <w:t>Literacy Completion Point (LCP) learning g</w:t>
      </w:r>
      <w:r w:rsidRPr="0097555C">
        <w:rPr>
          <w:b/>
          <w:color w:val="5B9BD5" w:themeColor="accent1"/>
          <w:sz w:val="32"/>
          <w:szCs w:val="32"/>
        </w:rPr>
        <w:t>ains</w:t>
      </w:r>
      <w:r w:rsidR="00DB69C3" w:rsidRPr="0097555C">
        <w:rPr>
          <w:rStyle w:val="FootnoteReference"/>
          <w:b/>
          <w:color w:val="5B9BD5" w:themeColor="accent1"/>
          <w:sz w:val="32"/>
          <w:szCs w:val="32"/>
        </w:rPr>
        <w:footnoteReference w:id="1"/>
      </w:r>
    </w:p>
    <w:p w:rsidR="00594F11" w:rsidRPr="0097555C" w:rsidRDefault="00594F11" w:rsidP="00594F11">
      <w:pPr>
        <w:spacing w:after="0"/>
        <w:jc w:val="center"/>
        <w:rPr>
          <w:b/>
          <w:color w:val="5B9BD5" w:themeColor="accent1"/>
          <w:sz w:val="32"/>
          <w:szCs w:val="32"/>
        </w:rPr>
      </w:pPr>
      <w:r w:rsidRPr="0097555C">
        <w:rPr>
          <w:b/>
          <w:color w:val="5B9BD5" w:themeColor="accent1"/>
          <w:sz w:val="32"/>
          <w:szCs w:val="32"/>
        </w:rPr>
        <w:t>2016-2017</w:t>
      </w:r>
    </w:p>
    <w:p w:rsidR="001F6EFD" w:rsidRPr="00043657" w:rsidRDefault="001F6EFD" w:rsidP="009C6E03">
      <w:pPr>
        <w:spacing w:after="0"/>
        <w:rPr>
          <w:color w:val="5B9BD5" w:themeColor="accent1"/>
          <w:sz w:val="32"/>
          <w:szCs w:val="32"/>
        </w:rPr>
      </w:pPr>
    </w:p>
    <w:p w:rsidR="0031054C" w:rsidRPr="0097555C" w:rsidRDefault="005129A1" w:rsidP="009755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DD6EE" w:themeFill="accent1" w:themeFillTint="66"/>
        <w:spacing w:after="0"/>
        <w:jc w:val="center"/>
        <w:rPr>
          <w:b/>
          <w:sz w:val="28"/>
          <w:szCs w:val="28"/>
        </w:rPr>
      </w:pPr>
      <w:r w:rsidRPr="0097555C">
        <w:rPr>
          <w:b/>
          <w:sz w:val="28"/>
          <w:szCs w:val="28"/>
        </w:rPr>
        <w:t>New Enrollment</w:t>
      </w:r>
      <w:r w:rsidR="009D0BB5" w:rsidRPr="0097555C">
        <w:rPr>
          <w:b/>
          <w:sz w:val="28"/>
          <w:szCs w:val="28"/>
        </w:rPr>
        <w:t xml:space="preserve"> Assessment P</w:t>
      </w:r>
      <w:r w:rsidR="009D607C" w:rsidRPr="0097555C">
        <w:rPr>
          <w:b/>
          <w:sz w:val="28"/>
          <w:szCs w:val="28"/>
        </w:rPr>
        <w:t>rocedures</w:t>
      </w:r>
    </w:p>
    <w:p w:rsidR="001F6EFD" w:rsidRPr="0097555C" w:rsidRDefault="001F6EFD" w:rsidP="009C6E03">
      <w:pPr>
        <w:spacing w:after="0"/>
        <w:rPr>
          <w:b/>
          <w:sz w:val="28"/>
          <w:szCs w:val="28"/>
        </w:rPr>
      </w:pPr>
    </w:p>
    <w:p w:rsidR="000253B3" w:rsidRDefault="00F21BD6" w:rsidP="009C6E03">
      <w:pPr>
        <w:spacing w:after="0"/>
      </w:pPr>
      <w:r w:rsidRPr="004D6EA6">
        <w:t xml:space="preserve">The </w:t>
      </w:r>
      <w:r w:rsidR="00490A74" w:rsidRPr="004D6EA6">
        <w:t>follo</w:t>
      </w:r>
      <w:r w:rsidR="000253B3" w:rsidRPr="004D6EA6">
        <w:t>wing policy should be used to determine</w:t>
      </w:r>
      <w:r w:rsidR="00C24C80" w:rsidRPr="004D6EA6">
        <w:t xml:space="preserve"> the </w:t>
      </w:r>
      <w:r w:rsidR="00707D3E">
        <w:t>Educational Functioning Level (</w:t>
      </w:r>
      <w:r w:rsidR="00C24C80" w:rsidRPr="004D6EA6">
        <w:t>EFL</w:t>
      </w:r>
      <w:r w:rsidR="00707D3E">
        <w:t>)</w:t>
      </w:r>
      <w:r w:rsidR="00C24C80" w:rsidRPr="004D6EA6">
        <w:t xml:space="preserve"> </w:t>
      </w:r>
      <w:r w:rsidR="00490A74" w:rsidRPr="004D6EA6">
        <w:t>for</w:t>
      </w:r>
      <w:r w:rsidR="004D6EA6">
        <w:t xml:space="preserve"> </w:t>
      </w:r>
      <w:r w:rsidR="00490A74" w:rsidRPr="004D6EA6">
        <w:t>newly enrolled student</w:t>
      </w:r>
      <w:r w:rsidR="00AF6755" w:rsidRPr="004D6EA6">
        <w:t>s</w:t>
      </w:r>
      <w:r w:rsidR="000253B3" w:rsidRPr="004D6EA6">
        <w:t>.</w:t>
      </w:r>
      <w:r w:rsidR="00490A74" w:rsidRPr="004D6EA6">
        <w:t xml:space="preserve"> </w:t>
      </w:r>
      <w:r w:rsidR="000253B3" w:rsidRPr="004D6EA6">
        <w:t xml:space="preserve">Examples of </w:t>
      </w:r>
      <w:r w:rsidR="00AF6755" w:rsidRPr="004D6EA6">
        <w:t xml:space="preserve">newly enrolled students </w:t>
      </w:r>
      <w:r w:rsidR="000253B3" w:rsidRPr="004D6EA6">
        <w:t>include:</w:t>
      </w:r>
    </w:p>
    <w:p w:rsidR="001F6EFD" w:rsidRPr="004D6EA6" w:rsidRDefault="001F6EFD" w:rsidP="009C6E03">
      <w:pPr>
        <w:spacing w:after="0"/>
      </w:pPr>
    </w:p>
    <w:p w:rsidR="000253B3" w:rsidRPr="004D6EA6" w:rsidRDefault="000253B3" w:rsidP="009C6E03">
      <w:pPr>
        <w:pStyle w:val="CommentText"/>
        <w:numPr>
          <w:ilvl w:val="0"/>
          <w:numId w:val="3"/>
        </w:numPr>
        <w:spacing w:after="0"/>
        <w:rPr>
          <w:color w:val="000000" w:themeColor="text1"/>
          <w:sz w:val="22"/>
          <w:szCs w:val="22"/>
        </w:rPr>
      </w:pPr>
      <w:r w:rsidRPr="004D6EA6">
        <w:rPr>
          <w:sz w:val="22"/>
          <w:szCs w:val="22"/>
        </w:rPr>
        <w:t>Student</w:t>
      </w:r>
      <w:r w:rsidR="004D6EA6" w:rsidRPr="004D6EA6">
        <w:rPr>
          <w:sz w:val="22"/>
          <w:szCs w:val="22"/>
        </w:rPr>
        <w:t xml:space="preserve">s </w:t>
      </w:r>
      <w:r w:rsidRPr="004D6EA6">
        <w:rPr>
          <w:sz w:val="22"/>
          <w:szCs w:val="22"/>
        </w:rPr>
        <w:t xml:space="preserve">not previously enrolled in any </w:t>
      </w:r>
      <w:r w:rsidR="00522166" w:rsidRPr="004D6EA6">
        <w:rPr>
          <w:color w:val="000000" w:themeColor="text1"/>
          <w:sz w:val="22"/>
          <w:szCs w:val="22"/>
        </w:rPr>
        <w:t xml:space="preserve">Adult Education </w:t>
      </w:r>
      <w:r w:rsidRPr="004D6EA6">
        <w:rPr>
          <w:color w:val="000000" w:themeColor="text1"/>
          <w:sz w:val="22"/>
          <w:szCs w:val="22"/>
        </w:rPr>
        <w:t xml:space="preserve">program in </w:t>
      </w:r>
      <w:r w:rsidR="00D048D7" w:rsidRPr="004D6EA6">
        <w:t>an</w:t>
      </w:r>
      <w:r w:rsidR="00D048D7" w:rsidRPr="004D6EA6">
        <w:rPr>
          <w:color w:val="000000" w:themeColor="text1"/>
          <w:sz w:val="22"/>
          <w:szCs w:val="22"/>
        </w:rPr>
        <w:t xml:space="preserve"> </w:t>
      </w:r>
      <w:r w:rsidRPr="004D6EA6">
        <w:rPr>
          <w:color w:val="000000" w:themeColor="text1"/>
          <w:sz w:val="22"/>
          <w:szCs w:val="22"/>
        </w:rPr>
        <w:t>agency/district/college</w:t>
      </w:r>
    </w:p>
    <w:p w:rsidR="001E4A72" w:rsidRPr="004D6EA6" w:rsidRDefault="000253B3" w:rsidP="009C6E03">
      <w:pPr>
        <w:pStyle w:val="ListParagraph"/>
        <w:numPr>
          <w:ilvl w:val="0"/>
          <w:numId w:val="3"/>
        </w:numPr>
        <w:spacing w:after="0"/>
      </w:pPr>
      <w:r w:rsidRPr="004D6EA6">
        <w:rPr>
          <w:color w:val="000000" w:themeColor="text1"/>
        </w:rPr>
        <w:t>Student</w:t>
      </w:r>
      <w:r w:rsidR="004D6EA6" w:rsidRPr="004D6EA6">
        <w:rPr>
          <w:color w:val="000000" w:themeColor="text1"/>
        </w:rPr>
        <w:t>s</w:t>
      </w:r>
      <w:r w:rsidRPr="004D6EA6">
        <w:rPr>
          <w:color w:val="000000" w:themeColor="text1"/>
        </w:rPr>
        <w:t xml:space="preserve"> previously enrolled in an </w:t>
      </w:r>
      <w:r w:rsidR="00522166" w:rsidRPr="004D6EA6">
        <w:rPr>
          <w:color w:val="000000" w:themeColor="text1"/>
        </w:rPr>
        <w:t xml:space="preserve">Adult Education </w:t>
      </w:r>
      <w:r w:rsidRPr="004D6EA6">
        <w:t xml:space="preserve">program in </w:t>
      </w:r>
      <w:r w:rsidR="00D048D7" w:rsidRPr="004D6EA6">
        <w:t xml:space="preserve">an </w:t>
      </w:r>
      <w:r w:rsidRPr="004D6EA6">
        <w:t>agency/district/college</w:t>
      </w:r>
      <w:r w:rsidR="00707D3E">
        <w:t>,</w:t>
      </w:r>
      <w:r w:rsidRPr="004D6EA6">
        <w:t xml:space="preserve"> but </w:t>
      </w:r>
      <w:r w:rsidR="004D6EA6" w:rsidRPr="004D6EA6">
        <w:t>not enrolled</w:t>
      </w:r>
      <w:r w:rsidRPr="004D6EA6">
        <w:t xml:space="preserve"> in any term </w:t>
      </w:r>
      <w:r w:rsidR="005C2066" w:rsidRPr="004D6EA6">
        <w:t>in either</w:t>
      </w:r>
      <w:r w:rsidRPr="004D6EA6">
        <w:t xml:space="preserve"> the current reporting year OR in the prior reporting year</w:t>
      </w:r>
    </w:p>
    <w:p w:rsidR="001E4A72" w:rsidRDefault="001E4A72" w:rsidP="009C6E03">
      <w:pPr>
        <w:pStyle w:val="ListParagraph"/>
        <w:numPr>
          <w:ilvl w:val="0"/>
          <w:numId w:val="3"/>
        </w:numPr>
        <w:spacing w:after="0"/>
      </w:pPr>
      <w:r w:rsidRPr="004D6EA6">
        <w:t>Students previous</w:t>
      </w:r>
      <w:r w:rsidR="004D6EA6" w:rsidRPr="004D6EA6">
        <w:t>ly</w:t>
      </w:r>
      <w:r w:rsidRPr="004D6EA6">
        <w:t xml:space="preserve"> or current</w:t>
      </w:r>
      <w:r w:rsidR="004D6EA6" w:rsidRPr="004D6EA6">
        <w:t>ly enrolled</w:t>
      </w:r>
      <w:r w:rsidRPr="004D6EA6">
        <w:t xml:space="preserve"> at another agency/district/college, but </w:t>
      </w:r>
      <w:r w:rsidR="004D6EA6" w:rsidRPr="004D6EA6">
        <w:t>have</w:t>
      </w:r>
      <w:r w:rsidRPr="004D6EA6">
        <w:t xml:space="preserve"> not enrolled in </w:t>
      </w:r>
      <w:r w:rsidR="004D6EA6" w:rsidRPr="004D6EA6">
        <w:rPr>
          <w:color w:val="000000" w:themeColor="text1"/>
        </w:rPr>
        <w:t xml:space="preserve">an Adult Education </w:t>
      </w:r>
      <w:r w:rsidR="004D6EA6" w:rsidRPr="004D6EA6">
        <w:t xml:space="preserve">program at your </w:t>
      </w:r>
      <w:r w:rsidRPr="004D6EA6">
        <w:t>agency/district/college</w:t>
      </w:r>
      <w:r w:rsidR="004D6EA6" w:rsidRPr="004D6EA6">
        <w:t>.</w:t>
      </w:r>
      <w:r w:rsidRPr="004D6EA6">
        <w:t xml:space="preserve">   </w:t>
      </w:r>
    </w:p>
    <w:p w:rsidR="001F6EFD" w:rsidRPr="004D6EA6" w:rsidRDefault="001F6EFD" w:rsidP="001F6EFD">
      <w:pPr>
        <w:pStyle w:val="ListParagraph"/>
        <w:spacing w:after="0"/>
      </w:pPr>
    </w:p>
    <w:p w:rsidR="000253B3" w:rsidRPr="004D6EA6" w:rsidRDefault="001E4A72" w:rsidP="009C6E03">
      <w:pPr>
        <w:spacing w:after="0"/>
      </w:pPr>
      <w:r w:rsidRPr="004D6EA6">
        <w:t>The following chart shows examples of student</w:t>
      </w:r>
      <w:r w:rsidR="00522166" w:rsidRPr="004D6EA6">
        <w:t>s</w:t>
      </w:r>
      <w:r w:rsidRPr="004D6EA6">
        <w:t xml:space="preserve"> </w:t>
      </w:r>
      <w:r w:rsidR="00522166" w:rsidRPr="004D6EA6">
        <w:t xml:space="preserve">who would be </w:t>
      </w:r>
      <w:r w:rsidR="00D048D7" w:rsidRPr="004D6EA6">
        <w:t xml:space="preserve">considered </w:t>
      </w:r>
      <w:r w:rsidRPr="004D6EA6">
        <w:t>new enrollment</w:t>
      </w:r>
      <w:r w:rsidR="00522166" w:rsidRPr="004D6EA6">
        <w:t>s</w:t>
      </w:r>
      <w:r w:rsidRPr="004D6EA6">
        <w:t xml:space="preserve"> </w:t>
      </w:r>
      <w:r w:rsidR="00522166" w:rsidRPr="004D6EA6">
        <w:t>c</w:t>
      </w:r>
      <w:r w:rsidRPr="004D6EA6">
        <w:t xml:space="preserve">ompared with </w:t>
      </w:r>
      <w:r w:rsidR="00522166" w:rsidRPr="004D6EA6">
        <w:t xml:space="preserve">students </w:t>
      </w:r>
      <w:r w:rsidRPr="004D6EA6">
        <w:t xml:space="preserve">who </w:t>
      </w:r>
      <w:r w:rsidR="00522166" w:rsidRPr="004D6EA6">
        <w:t xml:space="preserve">would be </w:t>
      </w:r>
      <w:r w:rsidR="00D048D7" w:rsidRPr="004D6EA6">
        <w:t>considered</w:t>
      </w:r>
      <w:r w:rsidR="00522166" w:rsidRPr="004D6EA6">
        <w:t xml:space="preserve"> </w:t>
      </w:r>
      <w:r w:rsidRPr="004D6EA6">
        <w:t>continuously enrolled</w:t>
      </w:r>
      <w:r w:rsidR="00AF6755" w:rsidRPr="004D6EA6">
        <w:t>.</w:t>
      </w:r>
    </w:p>
    <w:p w:rsidR="00EA5DBC" w:rsidRPr="004D6EA6" w:rsidRDefault="00EA5DBC" w:rsidP="009C6E03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21"/>
        <w:gridCol w:w="2288"/>
        <w:gridCol w:w="2289"/>
        <w:gridCol w:w="2288"/>
        <w:gridCol w:w="2289"/>
      </w:tblGrid>
      <w:tr w:rsidR="001E4A72" w:rsidRPr="004D6EA6" w:rsidTr="00D4754E">
        <w:tc>
          <w:tcPr>
            <w:tcW w:w="921" w:type="dxa"/>
            <w:shd w:val="clear" w:color="auto" w:fill="BDD6EE" w:themeFill="accent1" w:themeFillTint="66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Student</w:t>
            </w:r>
          </w:p>
        </w:tc>
        <w:tc>
          <w:tcPr>
            <w:tcW w:w="2288" w:type="dxa"/>
            <w:shd w:val="clear" w:color="auto" w:fill="BDD6EE" w:themeFill="accent1" w:themeFillTint="66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Enrollment Reported for 2013-14</w:t>
            </w:r>
          </w:p>
        </w:tc>
        <w:tc>
          <w:tcPr>
            <w:tcW w:w="2289" w:type="dxa"/>
            <w:shd w:val="clear" w:color="auto" w:fill="BDD6EE" w:themeFill="accent1" w:themeFillTint="66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Enrollment Reported for 2014-15</w:t>
            </w:r>
          </w:p>
        </w:tc>
        <w:tc>
          <w:tcPr>
            <w:tcW w:w="2288" w:type="dxa"/>
            <w:shd w:val="clear" w:color="auto" w:fill="BDD6EE" w:themeFill="accent1" w:themeFillTint="66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Enrollment Reported for 2015-16</w:t>
            </w:r>
          </w:p>
        </w:tc>
        <w:tc>
          <w:tcPr>
            <w:tcW w:w="2289" w:type="dxa"/>
            <w:shd w:val="clear" w:color="auto" w:fill="BDD6EE" w:themeFill="accent1" w:themeFillTint="66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New Student or Continuously Enrolled Student in 2016-17</w:t>
            </w:r>
          </w:p>
        </w:tc>
      </w:tr>
      <w:tr w:rsidR="001E4A72" w:rsidRPr="004D6EA6" w:rsidTr="00522166">
        <w:tc>
          <w:tcPr>
            <w:tcW w:w="921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A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No</w:t>
            </w:r>
          </w:p>
        </w:tc>
        <w:tc>
          <w:tcPr>
            <w:tcW w:w="2289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No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No</w:t>
            </w:r>
          </w:p>
        </w:tc>
        <w:tc>
          <w:tcPr>
            <w:tcW w:w="2289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New</w:t>
            </w:r>
          </w:p>
        </w:tc>
      </w:tr>
      <w:tr w:rsidR="001E4A72" w:rsidRPr="004D6EA6" w:rsidTr="00522166">
        <w:tc>
          <w:tcPr>
            <w:tcW w:w="921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B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Yes</w:t>
            </w:r>
          </w:p>
        </w:tc>
        <w:tc>
          <w:tcPr>
            <w:tcW w:w="2289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No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No</w:t>
            </w:r>
          </w:p>
        </w:tc>
        <w:tc>
          <w:tcPr>
            <w:tcW w:w="2289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New</w:t>
            </w:r>
          </w:p>
        </w:tc>
      </w:tr>
      <w:tr w:rsidR="001E4A72" w:rsidRPr="004D6EA6" w:rsidTr="00522166">
        <w:tc>
          <w:tcPr>
            <w:tcW w:w="921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C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Yes</w:t>
            </w:r>
          </w:p>
        </w:tc>
        <w:tc>
          <w:tcPr>
            <w:tcW w:w="2289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Yes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No</w:t>
            </w:r>
          </w:p>
        </w:tc>
        <w:tc>
          <w:tcPr>
            <w:tcW w:w="2289" w:type="dxa"/>
            <w:vAlign w:val="center"/>
          </w:tcPr>
          <w:p w:rsidR="001E4A72" w:rsidRPr="00FD3946" w:rsidRDefault="00FD3946" w:rsidP="009C6E03">
            <w:pPr>
              <w:jc w:val="center"/>
              <w:rPr>
                <w:strike/>
              </w:rPr>
            </w:pPr>
            <w:r w:rsidRPr="00D4754E">
              <w:t>New</w:t>
            </w:r>
          </w:p>
        </w:tc>
      </w:tr>
      <w:tr w:rsidR="001E4A72" w:rsidRPr="004D6EA6" w:rsidTr="00522166">
        <w:tc>
          <w:tcPr>
            <w:tcW w:w="921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D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No</w:t>
            </w:r>
          </w:p>
        </w:tc>
        <w:tc>
          <w:tcPr>
            <w:tcW w:w="2289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No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Yes</w:t>
            </w:r>
          </w:p>
        </w:tc>
        <w:tc>
          <w:tcPr>
            <w:tcW w:w="2289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Continuous</w:t>
            </w:r>
          </w:p>
        </w:tc>
      </w:tr>
      <w:tr w:rsidR="001E4A72" w:rsidRPr="004D6EA6" w:rsidTr="00522166">
        <w:tc>
          <w:tcPr>
            <w:tcW w:w="921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E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No</w:t>
            </w:r>
          </w:p>
        </w:tc>
        <w:tc>
          <w:tcPr>
            <w:tcW w:w="2289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Yes</w:t>
            </w:r>
          </w:p>
        </w:tc>
        <w:tc>
          <w:tcPr>
            <w:tcW w:w="2288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Yes</w:t>
            </w:r>
          </w:p>
        </w:tc>
        <w:tc>
          <w:tcPr>
            <w:tcW w:w="2289" w:type="dxa"/>
            <w:vAlign w:val="center"/>
          </w:tcPr>
          <w:p w:rsidR="001E4A72" w:rsidRPr="004D6EA6" w:rsidRDefault="001E4A72" w:rsidP="009C6E03">
            <w:pPr>
              <w:jc w:val="center"/>
            </w:pPr>
            <w:r w:rsidRPr="004D6EA6">
              <w:t>Continuous</w:t>
            </w:r>
          </w:p>
        </w:tc>
      </w:tr>
    </w:tbl>
    <w:p w:rsidR="001E4A72" w:rsidRPr="004D6EA6" w:rsidRDefault="001E4A72" w:rsidP="009C6E03">
      <w:pPr>
        <w:spacing w:after="0"/>
      </w:pPr>
    </w:p>
    <w:p w:rsidR="009D0BB5" w:rsidRPr="00D4754E" w:rsidRDefault="009D0BB5" w:rsidP="009D0BB5">
      <w:pPr>
        <w:spacing w:after="0"/>
      </w:pPr>
      <w:r>
        <w:t xml:space="preserve">Note: </w:t>
      </w:r>
      <w:r w:rsidRPr="00D4754E">
        <w:t xml:space="preserve">Students previously enrolled in ESOL or ELCATE who tested out of these courses based on the reading score should not be re-enrolled in these programs using the listening score (see Students </w:t>
      </w:r>
      <w:r w:rsidR="00594F11">
        <w:t>D and E</w:t>
      </w:r>
      <w:r w:rsidRPr="00D4754E">
        <w:t xml:space="preserve"> in the above scenario). Students may receive English language instruction by enrolling in Adult ESOL College and Career Readiness</w:t>
      </w:r>
      <w:r>
        <w:t xml:space="preserve">, program number 9900051 </w:t>
      </w:r>
      <w:r w:rsidRPr="00D4754E">
        <w:t xml:space="preserve">(formerly Academic Skills for Adult ESOL Learners). </w:t>
      </w:r>
    </w:p>
    <w:p w:rsidR="009C6E03" w:rsidRDefault="009C6E03" w:rsidP="009C6E03">
      <w:pPr>
        <w:spacing w:after="0"/>
        <w:rPr>
          <w:b/>
        </w:rPr>
      </w:pPr>
    </w:p>
    <w:p w:rsidR="009C6E03" w:rsidRPr="0097555C" w:rsidRDefault="00043657" w:rsidP="009C6E03">
      <w:pPr>
        <w:spacing w:after="0"/>
        <w:rPr>
          <w:b/>
          <w:sz w:val="24"/>
          <w:szCs w:val="24"/>
        </w:rPr>
      </w:pPr>
      <w:r w:rsidRPr="0097555C">
        <w:rPr>
          <w:b/>
          <w:sz w:val="24"/>
          <w:szCs w:val="24"/>
        </w:rPr>
        <w:t>New Student Enrollment</w:t>
      </w:r>
      <w:r w:rsidR="009D607C" w:rsidRPr="0097555C">
        <w:rPr>
          <w:b/>
          <w:sz w:val="24"/>
          <w:szCs w:val="24"/>
        </w:rPr>
        <w:t xml:space="preserve"> (ESOL)</w:t>
      </w:r>
      <w:r w:rsidRPr="0097555C">
        <w:rPr>
          <w:b/>
          <w:sz w:val="24"/>
          <w:szCs w:val="24"/>
        </w:rPr>
        <w:t xml:space="preserve"> – CASAS:</w:t>
      </w:r>
    </w:p>
    <w:p w:rsidR="009C6E03" w:rsidRPr="004D6EA6" w:rsidRDefault="00E86EB9" w:rsidP="009C6E03">
      <w:pPr>
        <w:pStyle w:val="ListParagraph"/>
        <w:numPr>
          <w:ilvl w:val="0"/>
          <w:numId w:val="4"/>
        </w:numPr>
        <w:spacing w:after="0"/>
      </w:pPr>
      <w:r w:rsidRPr="004D6EA6">
        <w:t>Student</w:t>
      </w:r>
      <w:r w:rsidR="00522166" w:rsidRPr="004D6EA6">
        <w:t>s</w:t>
      </w:r>
      <w:r w:rsidRPr="004D6EA6">
        <w:t xml:space="preserve"> </w:t>
      </w:r>
      <w:r w:rsidR="009D0BB5">
        <w:t xml:space="preserve">who enroll for the first time in ESOL or ELCATE </w:t>
      </w:r>
      <w:r w:rsidR="00707D3E">
        <w:t xml:space="preserve">must </w:t>
      </w:r>
      <w:r w:rsidR="000E3538" w:rsidRPr="004D6EA6">
        <w:t>pre-</w:t>
      </w:r>
      <w:r w:rsidR="004D6EA6">
        <w:t>test</w:t>
      </w:r>
      <w:r w:rsidRPr="004D6EA6">
        <w:t xml:space="preserve"> </w:t>
      </w:r>
      <w:r w:rsidR="000E3538" w:rsidRPr="004D6EA6">
        <w:t xml:space="preserve">in </w:t>
      </w:r>
      <w:r w:rsidRPr="004D6EA6">
        <w:t xml:space="preserve">both </w:t>
      </w:r>
      <w:r w:rsidR="000E3538" w:rsidRPr="004D6EA6">
        <w:t>li</w:t>
      </w:r>
      <w:r w:rsidRPr="004D6EA6">
        <w:t xml:space="preserve">stening and </w:t>
      </w:r>
      <w:r w:rsidR="000E3538" w:rsidRPr="004D6EA6">
        <w:t>re</w:t>
      </w:r>
      <w:r w:rsidRPr="004D6EA6">
        <w:t>ading</w:t>
      </w:r>
      <w:r w:rsidR="000E3538" w:rsidRPr="004D6EA6">
        <w:t>.</w:t>
      </w:r>
      <w:r w:rsidRPr="004D6EA6">
        <w:t xml:space="preserve"> </w:t>
      </w:r>
      <w:r w:rsidR="0055784E" w:rsidRPr="004D6EA6">
        <w:t xml:space="preserve">The Initial EFL </w:t>
      </w:r>
      <w:r w:rsidR="00DB69C3" w:rsidRPr="004D6EA6">
        <w:t xml:space="preserve">placement </w:t>
      </w:r>
      <w:r w:rsidR="0055784E" w:rsidRPr="004D6EA6">
        <w:t>is</w:t>
      </w:r>
      <w:r w:rsidRPr="004D6EA6">
        <w:t xml:space="preserve"> based on the </w:t>
      </w:r>
      <w:r w:rsidR="004D6EA6">
        <w:t xml:space="preserve">test with the lower </w:t>
      </w:r>
      <w:r w:rsidRPr="004D6EA6">
        <w:t xml:space="preserve">score. </w:t>
      </w:r>
    </w:p>
    <w:p w:rsidR="009C6E03" w:rsidRPr="004D6EA6" w:rsidRDefault="00AF6755" w:rsidP="009C6E03">
      <w:pPr>
        <w:pStyle w:val="ListParagraph"/>
        <w:numPr>
          <w:ilvl w:val="0"/>
          <w:numId w:val="4"/>
        </w:numPr>
        <w:spacing w:after="0"/>
      </w:pPr>
      <w:r w:rsidRPr="004D6EA6">
        <w:t xml:space="preserve">Students </w:t>
      </w:r>
      <w:r w:rsidR="00707D3E">
        <w:t xml:space="preserve">must </w:t>
      </w:r>
      <w:r w:rsidRPr="004D6EA6">
        <w:t>post-</w:t>
      </w:r>
      <w:r w:rsidR="004D6EA6">
        <w:t>test</w:t>
      </w:r>
      <w:r w:rsidRPr="004D6EA6">
        <w:t xml:space="preserve"> in both listening and reading</w:t>
      </w:r>
      <w:r w:rsidR="009C6E03">
        <w:t xml:space="preserve"> after completing 70 to 100 hours of instruction</w:t>
      </w:r>
      <w:r w:rsidR="009750BC" w:rsidRPr="004D6EA6">
        <w:t xml:space="preserve">. EFL </w:t>
      </w:r>
      <w:r w:rsidR="005129A1" w:rsidRPr="004D6EA6">
        <w:t>and</w:t>
      </w:r>
      <w:r w:rsidR="009750BC" w:rsidRPr="004D6EA6">
        <w:t xml:space="preserve"> </w:t>
      </w:r>
      <w:r w:rsidR="005129A1" w:rsidRPr="004D6EA6">
        <w:t>LCP</w:t>
      </w:r>
      <w:r w:rsidR="009750BC" w:rsidRPr="004D6EA6">
        <w:t xml:space="preserve"> learning gains</w:t>
      </w:r>
      <w:r w:rsidR="005129A1" w:rsidRPr="004D6EA6">
        <w:t xml:space="preserve"> </w:t>
      </w:r>
      <w:r w:rsidR="0055784E" w:rsidRPr="004D6EA6">
        <w:t>are</w:t>
      </w:r>
      <w:r w:rsidR="000E3538" w:rsidRPr="004D6EA6">
        <w:t xml:space="preserve"> calculated </w:t>
      </w:r>
      <w:r w:rsidR="005129A1" w:rsidRPr="004D6EA6">
        <w:t>based on the test</w:t>
      </w:r>
      <w:r w:rsidR="00BF153D">
        <w:t xml:space="preserve"> score</w:t>
      </w:r>
      <w:r w:rsidR="005129A1" w:rsidRPr="004D6EA6">
        <w:t xml:space="preserve"> </w:t>
      </w:r>
      <w:r w:rsidR="00BF153D">
        <w:t xml:space="preserve">in the same skill area </w:t>
      </w:r>
      <w:r w:rsidR="005129A1" w:rsidRPr="004D6EA6">
        <w:t xml:space="preserve">(listening or reading) used </w:t>
      </w:r>
      <w:r w:rsidR="00EA5DBC" w:rsidRPr="004D6EA6">
        <w:t xml:space="preserve">for the Initial </w:t>
      </w:r>
      <w:r w:rsidR="0055784E" w:rsidRPr="004D6EA6">
        <w:t>EFL</w:t>
      </w:r>
      <w:r w:rsidR="00EA5DBC" w:rsidRPr="004D6EA6">
        <w:t xml:space="preserve"> placement</w:t>
      </w:r>
      <w:r w:rsidR="00BF153D" w:rsidRPr="00BF153D">
        <w:t xml:space="preserve"> </w:t>
      </w:r>
      <w:r w:rsidR="00BF153D">
        <w:t>(</w:t>
      </w:r>
      <w:r w:rsidR="00707D3E">
        <w:t>s</w:t>
      </w:r>
      <w:r w:rsidR="00BF153D" w:rsidRPr="004D6EA6">
        <w:t>ee the Adult Education Assessment Technical Assistance Paper for guidance</w:t>
      </w:r>
      <w:r w:rsidR="00BF153D">
        <w:t>)</w:t>
      </w:r>
      <w:r w:rsidR="00707D3E">
        <w:t>.</w:t>
      </w:r>
    </w:p>
    <w:p w:rsidR="005129A1" w:rsidRPr="004D6EA6" w:rsidRDefault="000E3538" w:rsidP="009C6E03">
      <w:pPr>
        <w:pStyle w:val="ListParagraph"/>
        <w:numPr>
          <w:ilvl w:val="0"/>
          <w:numId w:val="4"/>
        </w:numPr>
        <w:spacing w:after="0"/>
      </w:pPr>
      <w:r w:rsidRPr="004D6EA6">
        <w:t>S</w:t>
      </w:r>
      <w:r w:rsidR="005129A1" w:rsidRPr="004D6EA6">
        <w:t>tudent</w:t>
      </w:r>
      <w:r w:rsidRPr="004D6EA6">
        <w:t>s</w:t>
      </w:r>
      <w:r w:rsidR="005129A1" w:rsidRPr="004D6EA6">
        <w:t xml:space="preserve"> </w:t>
      </w:r>
      <w:r w:rsidRPr="004D6EA6">
        <w:t>who make</w:t>
      </w:r>
      <w:r w:rsidR="009750BC" w:rsidRPr="004D6EA6">
        <w:t xml:space="preserve"> an</w:t>
      </w:r>
      <w:r w:rsidRPr="004D6EA6">
        <w:t xml:space="preserve"> </w:t>
      </w:r>
      <w:r w:rsidR="009750BC" w:rsidRPr="004D6EA6">
        <w:t>EFL and LCP learning gain</w:t>
      </w:r>
      <w:r w:rsidR="005129A1" w:rsidRPr="004D6EA6">
        <w:t xml:space="preserve"> </w:t>
      </w:r>
      <w:r w:rsidRPr="004D6EA6">
        <w:t xml:space="preserve">are </w:t>
      </w:r>
      <w:r w:rsidR="005129A1" w:rsidRPr="004D6EA6">
        <w:t xml:space="preserve">reported </w:t>
      </w:r>
      <w:r w:rsidRPr="004D6EA6">
        <w:t xml:space="preserve">in </w:t>
      </w:r>
      <w:r w:rsidR="005129A1" w:rsidRPr="004D6EA6">
        <w:t xml:space="preserve">the </w:t>
      </w:r>
      <w:r w:rsidR="009C6E03">
        <w:t xml:space="preserve">next </w:t>
      </w:r>
      <w:r w:rsidR="005129A1" w:rsidRPr="004D6EA6">
        <w:t xml:space="preserve">higher </w:t>
      </w:r>
      <w:r w:rsidR="0055784E" w:rsidRPr="004D6EA6">
        <w:t>EFL</w:t>
      </w:r>
      <w:r w:rsidR="005129A1" w:rsidRPr="004D6EA6">
        <w:t xml:space="preserve"> in the next reporting term. </w:t>
      </w:r>
    </w:p>
    <w:p w:rsidR="005129A1" w:rsidRDefault="000E3538" w:rsidP="009C6E03">
      <w:pPr>
        <w:pStyle w:val="ListParagraph"/>
        <w:numPr>
          <w:ilvl w:val="0"/>
          <w:numId w:val="4"/>
        </w:numPr>
        <w:spacing w:after="0"/>
      </w:pPr>
      <w:r w:rsidRPr="004D6EA6">
        <w:lastRenderedPageBreak/>
        <w:t>S</w:t>
      </w:r>
      <w:r w:rsidR="005129A1" w:rsidRPr="004D6EA6">
        <w:t>tudent</w:t>
      </w:r>
      <w:r w:rsidRPr="004D6EA6">
        <w:t>s</w:t>
      </w:r>
      <w:r w:rsidR="005129A1" w:rsidRPr="004D6EA6">
        <w:t xml:space="preserve"> </w:t>
      </w:r>
      <w:r w:rsidRPr="004D6EA6">
        <w:t xml:space="preserve">who do </w:t>
      </w:r>
      <w:r w:rsidR="005129A1" w:rsidRPr="004D6EA6">
        <w:t xml:space="preserve">not </w:t>
      </w:r>
      <w:r w:rsidRPr="004D6EA6">
        <w:t xml:space="preserve">make </w:t>
      </w:r>
      <w:r w:rsidR="009750BC" w:rsidRPr="004D6EA6">
        <w:t xml:space="preserve">an EFL and LCP learning gain </w:t>
      </w:r>
      <w:r w:rsidR="005129A1" w:rsidRPr="004D6EA6">
        <w:t xml:space="preserve">or </w:t>
      </w:r>
      <w:r w:rsidR="009C6E03">
        <w:t xml:space="preserve">score into </w:t>
      </w:r>
      <w:r w:rsidR="009750BC" w:rsidRPr="004D6EA6">
        <w:t xml:space="preserve">a lower EFL </w:t>
      </w:r>
      <w:r w:rsidR="005129A1" w:rsidRPr="004D6EA6">
        <w:t>should</w:t>
      </w:r>
      <w:r w:rsidRPr="004D6EA6">
        <w:t xml:space="preserve"> continue to</w:t>
      </w:r>
      <w:r w:rsidR="005129A1" w:rsidRPr="004D6EA6">
        <w:t xml:space="preserve"> be reported </w:t>
      </w:r>
      <w:r w:rsidRPr="004D6EA6">
        <w:t xml:space="preserve">in </w:t>
      </w:r>
      <w:r w:rsidR="005129A1" w:rsidRPr="004D6EA6">
        <w:t xml:space="preserve">the same </w:t>
      </w:r>
      <w:r w:rsidR="0055784E" w:rsidRPr="004D6EA6">
        <w:t>EFL</w:t>
      </w:r>
      <w:r w:rsidR="005129A1" w:rsidRPr="004D6EA6">
        <w:t xml:space="preserve"> in the next reporting term</w:t>
      </w:r>
      <w:r w:rsidR="00EA5DBC" w:rsidRPr="004D6EA6">
        <w:t>.</w:t>
      </w:r>
    </w:p>
    <w:p w:rsidR="009D607C" w:rsidRPr="004D6EA6" w:rsidRDefault="009D607C" w:rsidP="009C6E03">
      <w:pPr>
        <w:pStyle w:val="ListParagraph"/>
        <w:numPr>
          <w:ilvl w:val="0"/>
          <w:numId w:val="4"/>
        </w:numPr>
        <w:spacing w:after="0"/>
      </w:pPr>
      <w:r>
        <w:t>Students who</w:t>
      </w:r>
      <w:r w:rsidRPr="004D6EA6">
        <w:t xml:space="preserve"> test</w:t>
      </w:r>
      <w:r>
        <w:t xml:space="preserve"> out of the program should be </w:t>
      </w:r>
      <w:r w:rsidRPr="004D6EA6">
        <w:t>exited from the course based on the test date.</w:t>
      </w:r>
    </w:p>
    <w:p w:rsidR="003B76F2" w:rsidRDefault="003B76F2" w:rsidP="009C6E03">
      <w:pPr>
        <w:spacing w:after="0"/>
        <w:rPr>
          <w:b/>
        </w:rPr>
      </w:pPr>
    </w:p>
    <w:p w:rsidR="009C6E03" w:rsidRPr="0097555C" w:rsidRDefault="00043657" w:rsidP="009C6E03">
      <w:pPr>
        <w:spacing w:after="0"/>
        <w:rPr>
          <w:b/>
          <w:sz w:val="24"/>
          <w:szCs w:val="24"/>
        </w:rPr>
      </w:pPr>
      <w:r w:rsidRPr="0097555C">
        <w:rPr>
          <w:b/>
          <w:sz w:val="24"/>
          <w:szCs w:val="24"/>
        </w:rPr>
        <w:t xml:space="preserve">New Student Enrollment - </w:t>
      </w:r>
      <w:r w:rsidR="005C2560" w:rsidRPr="0097555C">
        <w:rPr>
          <w:b/>
          <w:sz w:val="24"/>
          <w:szCs w:val="24"/>
        </w:rPr>
        <w:t>A</w:t>
      </w:r>
      <w:r w:rsidR="00D048D7" w:rsidRPr="0097555C">
        <w:rPr>
          <w:b/>
          <w:sz w:val="24"/>
          <w:szCs w:val="24"/>
        </w:rPr>
        <w:t>ll other</w:t>
      </w:r>
      <w:r w:rsidRPr="0097555C">
        <w:rPr>
          <w:b/>
          <w:sz w:val="24"/>
          <w:szCs w:val="24"/>
        </w:rPr>
        <w:t xml:space="preserve"> adult education </w:t>
      </w:r>
      <w:r w:rsidR="00D048D7" w:rsidRPr="0097555C">
        <w:rPr>
          <w:b/>
          <w:sz w:val="24"/>
          <w:szCs w:val="24"/>
        </w:rPr>
        <w:t>assessments</w:t>
      </w:r>
      <w:r w:rsidR="009C6E03" w:rsidRPr="0097555C">
        <w:rPr>
          <w:b/>
          <w:sz w:val="24"/>
          <w:szCs w:val="24"/>
        </w:rPr>
        <w:t>:</w:t>
      </w:r>
    </w:p>
    <w:p w:rsidR="009C6E03" w:rsidRDefault="0059607A" w:rsidP="0085188B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55784E" w:rsidRPr="004D6EA6">
        <w:t xml:space="preserve">Initial </w:t>
      </w:r>
      <w:r>
        <w:t>EFL</w:t>
      </w:r>
      <w:r w:rsidR="0097555C">
        <w:t xml:space="preserve"> placement</w:t>
      </w:r>
      <w:r>
        <w:t xml:space="preserve"> is </w:t>
      </w:r>
      <w:r w:rsidR="0055784E" w:rsidRPr="004D6EA6">
        <w:t xml:space="preserve">based </w:t>
      </w:r>
      <w:r>
        <w:t>on</w:t>
      </w:r>
      <w:r w:rsidR="0055784E" w:rsidRPr="004D6EA6">
        <w:t xml:space="preserve"> the </w:t>
      </w:r>
      <w:r w:rsidR="00BF153D">
        <w:t xml:space="preserve">student’s </w:t>
      </w:r>
      <w:r w:rsidR="0055784E" w:rsidRPr="004D6EA6">
        <w:t>pre</w:t>
      </w:r>
      <w:r>
        <w:t>-</w:t>
      </w:r>
      <w:r w:rsidR="0055784E" w:rsidRPr="004D6EA6">
        <w:t>test score</w:t>
      </w:r>
      <w:r w:rsidR="005129A1" w:rsidRPr="004D6EA6">
        <w:t xml:space="preserve">. </w:t>
      </w:r>
    </w:p>
    <w:p w:rsidR="0059607A" w:rsidRPr="004D6EA6" w:rsidRDefault="0059607A" w:rsidP="0059607A">
      <w:pPr>
        <w:pStyle w:val="ListParagraph"/>
        <w:numPr>
          <w:ilvl w:val="0"/>
          <w:numId w:val="1"/>
        </w:numPr>
        <w:spacing w:after="0"/>
      </w:pPr>
      <w:r w:rsidRPr="004D6EA6">
        <w:t>EFL and LCP</w:t>
      </w:r>
      <w:r w:rsidR="00BF153D">
        <w:t xml:space="preserve"> learning gains</w:t>
      </w:r>
      <w:r w:rsidRPr="004D6EA6">
        <w:t xml:space="preserve"> </w:t>
      </w:r>
      <w:r w:rsidR="00BF153D">
        <w:t xml:space="preserve">are calculated based on the test score in the same skill area used for </w:t>
      </w:r>
      <w:r w:rsidRPr="004D6EA6">
        <w:t>the Initial EFL placement</w:t>
      </w:r>
      <w:r w:rsidR="00707D3E">
        <w:t xml:space="preserve"> </w:t>
      </w:r>
      <w:r w:rsidR="00BF153D">
        <w:t>(</w:t>
      </w:r>
      <w:r w:rsidR="00707D3E">
        <w:t>s</w:t>
      </w:r>
      <w:r w:rsidR="00BF153D" w:rsidRPr="004D6EA6">
        <w:t>ee the Adult Education Assessment Technical Assistance Paper for guidance</w:t>
      </w:r>
      <w:r w:rsidR="00BF153D">
        <w:t>)</w:t>
      </w:r>
      <w:r w:rsidR="00707D3E">
        <w:t>.</w:t>
      </w:r>
    </w:p>
    <w:p w:rsidR="00BF153D" w:rsidRPr="004D6EA6" w:rsidRDefault="00BF153D" w:rsidP="00BF153D">
      <w:pPr>
        <w:pStyle w:val="ListParagraph"/>
        <w:numPr>
          <w:ilvl w:val="0"/>
          <w:numId w:val="4"/>
        </w:numPr>
        <w:spacing w:after="0"/>
      </w:pPr>
      <w:r w:rsidRPr="004D6EA6">
        <w:t xml:space="preserve">Students who make an EFL and LCP learning gain are reported in the </w:t>
      </w:r>
      <w:r>
        <w:t xml:space="preserve">next </w:t>
      </w:r>
      <w:r w:rsidRPr="004D6EA6">
        <w:t xml:space="preserve">higher EFL in the next reporting term. </w:t>
      </w:r>
    </w:p>
    <w:p w:rsidR="00BF153D" w:rsidRPr="004D6EA6" w:rsidRDefault="00BF153D" w:rsidP="00BF153D">
      <w:pPr>
        <w:pStyle w:val="ListParagraph"/>
        <w:numPr>
          <w:ilvl w:val="0"/>
          <w:numId w:val="4"/>
        </w:numPr>
        <w:spacing w:after="0"/>
      </w:pPr>
      <w:r w:rsidRPr="004D6EA6">
        <w:t xml:space="preserve">Students who do not make an EFL and LCP learning gain or </w:t>
      </w:r>
      <w:r>
        <w:t xml:space="preserve">score into </w:t>
      </w:r>
      <w:r w:rsidRPr="004D6EA6">
        <w:t>a lower EFL should continue to be reported in the same EFL in the next reporting term.</w:t>
      </w:r>
    </w:p>
    <w:p w:rsidR="005C2560" w:rsidRDefault="008A3EA4" w:rsidP="009C6E03">
      <w:pPr>
        <w:pStyle w:val="ListParagraph"/>
        <w:numPr>
          <w:ilvl w:val="0"/>
          <w:numId w:val="1"/>
        </w:numPr>
        <w:spacing w:after="0"/>
      </w:pPr>
      <w:r>
        <w:t>Students who</w:t>
      </w:r>
      <w:r w:rsidR="005C2560" w:rsidRPr="004D6EA6">
        <w:t xml:space="preserve"> test</w:t>
      </w:r>
      <w:r>
        <w:t xml:space="preserve"> out of the program should be </w:t>
      </w:r>
      <w:r w:rsidR="005C2560" w:rsidRPr="004D6EA6">
        <w:t>exited from the course based on the test date. For example</w:t>
      </w:r>
      <w:r w:rsidR="0055784E" w:rsidRPr="004D6EA6">
        <w:t>,</w:t>
      </w:r>
      <w:r w:rsidR="005C2560" w:rsidRPr="004D6EA6">
        <w:t xml:space="preserve"> an Adult Basic Education (ABE) student who </w:t>
      </w:r>
      <w:r w:rsidR="00AF6755" w:rsidRPr="004D6EA6">
        <w:t>post-test</w:t>
      </w:r>
      <w:r>
        <w:t>s</w:t>
      </w:r>
      <w:r w:rsidR="00AF6755" w:rsidRPr="004D6EA6">
        <w:t xml:space="preserve"> a</w:t>
      </w:r>
      <w:r w:rsidR="005C2560" w:rsidRPr="004D6EA6">
        <w:t xml:space="preserve">nd scores above 8.9 should have an exit date that reflects the qualifying test score date. A student who takes and passes the GED® should have an exit date which reflects the diploma date. </w:t>
      </w:r>
    </w:p>
    <w:p w:rsidR="005C2560" w:rsidRPr="004D6EA6" w:rsidRDefault="005C2560" w:rsidP="008A3EA4">
      <w:pPr>
        <w:spacing w:after="0"/>
      </w:pPr>
    </w:p>
    <w:p w:rsidR="00594F11" w:rsidRPr="0097555C" w:rsidRDefault="005129A1" w:rsidP="009755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DD6EE" w:themeFill="accent1" w:themeFillTint="66"/>
        <w:spacing w:after="0"/>
        <w:jc w:val="center"/>
        <w:rPr>
          <w:b/>
          <w:sz w:val="28"/>
          <w:szCs w:val="28"/>
        </w:rPr>
      </w:pPr>
      <w:r w:rsidRPr="0097555C">
        <w:rPr>
          <w:b/>
          <w:sz w:val="28"/>
          <w:szCs w:val="28"/>
        </w:rPr>
        <w:t>Continuous</w:t>
      </w:r>
      <w:r w:rsidR="009D607C" w:rsidRPr="0097555C">
        <w:rPr>
          <w:b/>
          <w:sz w:val="28"/>
          <w:szCs w:val="28"/>
        </w:rPr>
        <w:t xml:space="preserve"> </w:t>
      </w:r>
      <w:r w:rsidRPr="0097555C">
        <w:rPr>
          <w:b/>
          <w:sz w:val="28"/>
          <w:szCs w:val="28"/>
        </w:rPr>
        <w:t>Enroll</w:t>
      </w:r>
      <w:r w:rsidR="009D607C" w:rsidRPr="0097555C">
        <w:rPr>
          <w:b/>
          <w:sz w:val="28"/>
          <w:szCs w:val="28"/>
        </w:rPr>
        <w:t>ment Assessment Procedures</w:t>
      </w:r>
    </w:p>
    <w:p w:rsidR="0097555C" w:rsidRPr="0097555C" w:rsidRDefault="0097555C" w:rsidP="009C6E03">
      <w:pPr>
        <w:spacing w:after="0"/>
        <w:rPr>
          <w:sz w:val="28"/>
          <w:szCs w:val="28"/>
        </w:rPr>
      </w:pPr>
    </w:p>
    <w:p w:rsidR="00490A74" w:rsidRDefault="00490A74" w:rsidP="009C6E03">
      <w:pPr>
        <w:spacing w:after="0"/>
      </w:pPr>
      <w:r w:rsidRPr="004D6EA6">
        <w:t xml:space="preserve">The following policy should be used when determining </w:t>
      </w:r>
      <w:r w:rsidR="00AF6755" w:rsidRPr="004D6EA6">
        <w:t xml:space="preserve">the EFL </w:t>
      </w:r>
      <w:r w:rsidRPr="004D6EA6">
        <w:t xml:space="preserve">for a continuously enrolled student. A continuously enrolled student is a student who has previously enrolled in </w:t>
      </w:r>
      <w:r w:rsidR="0055784E" w:rsidRPr="004D6EA6">
        <w:t>agency/district/college</w:t>
      </w:r>
      <w:r w:rsidRPr="004D6EA6">
        <w:t xml:space="preserve"> in another term in </w:t>
      </w:r>
      <w:r w:rsidR="005C2066" w:rsidRPr="004D6EA6">
        <w:t xml:space="preserve">either </w:t>
      </w:r>
      <w:r w:rsidRPr="004D6EA6">
        <w:t>the same reporting year, or in the previous reporting year.</w:t>
      </w:r>
      <w:r w:rsidR="001E4A72" w:rsidRPr="004D6EA6">
        <w:t xml:space="preserve"> </w:t>
      </w:r>
      <w:r w:rsidR="0055784E" w:rsidRPr="004D6EA6">
        <w:t>For examples of students who are considered continuously enrolled, please use the chart located in the “New Enrollment” section</w:t>
      </w:r>
      <w:r w:rsidR="00A74AE2">
        <w:t>.</w:t>
      </w:r>
      <w:r w:rsidR="0055784E" w:rsidRPr="004D6EA6">
        <w:t xml:space="preserve"> </w:t>
      </w:r>
    </w:p>
    <w:p w:rsidR="00CB47B9" w:rsidRPr="004D6EA6" w:rsidRDefault="00CB47B9" w:rsidP="009C6E03">
      <w:pPr>
        <w:spacing w:after="0"/>
        <w:rPr>
          <w:b/>
        </w:rPr>
      </w:pPr>
    </w:p>
    <w:p w:rsidR="00D048D7" w:rsidRPr="0097555C" w:rsidRDefault="0097555C" w:rsidP="009C6E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Continuous Enrollment (ESOL) - </w:t>
      </w:r>
      <w:r w:rsidR="005129A1" w:rsidRPr="0097555C">
        <w:rPr>
          <w:b/>
          <w:sz w:val="24"/>
          <w:szCs w:val="24"/>
        </w:rPr>
        <w:t>CASAS</w:t>
      </w:r>
      <w:r w:rsidR="00D048D7" w:rsidRPr="0097555C">
        <w:rPr>
          <w:b/>
          <w:sz w:val="24"/>
          <w:szCs w:val="24"/>
        </w:rPr>
        <w:t xml:space="preserve">: </w:t>
      </w:r>
    </w:p>
    <w:p w:rsidR="00D048D7" w:rsidRPr="004D6EA6" w:rsidRDefault="00D048D7" w:rsidP="009C6E03">
      <w:pPr>
        <w:pStyle w:val="ListParagraph"/>
        <w:numPr>
          <w:ilvl w:val="0"/>
          <w:numId w:val="5"/>
        </w:numPr>
        <w:spacing w:after="0"/>
      </w:pPr>
      <w:r w:rsidRPr="004D6EA6">
        <w:t xml:space="preserve">Students are post-tested in both listening and reading. </w:t>
      </w:r>
      <w:r w:rsidR="0055784E" w:rsidRPr="004D6EA6">
        <w:t>The EFL</w:t>
      </w:r>
      <w:r w:rsidR="004D6EA6" w:rsidRPr="004D6EA6">
        <w:t xml:space="preserve"> </w:t>
      </w:r>
      <w:r w:rsidR="005129A1" w:rsidRPr="004D6EA6">
        <w:t xml:space="preserve">should be based on the </w:t>
      </w:r>
      <w:proofErr w:type="gramStart"/>
      <w:r w:rsidR="006B630D" w:rsidRPr="004D6EA6">
        <w:t>test</w:t>
      </w:r>
      <w:r w:rsidR="005129A1" w:rsidRPr="004D6EA6">
        <w:t xml:space="preserve"> </w:t>
      </w:r>
      <w:r w:rsidRPr="004D6EA6">
        <w:t xml:space="preserve"> </w:t>
      </w:r>
      <w:r w:rsidR="00A74AE2">
        <w:t>(</w:t>
      </w:r>
      <w:proofErr w:type="gramEnd"/>
      <w:r w:rsidRPr="004D6EA6">
        <w:t xml:space="preserve">reading) </w:t>
      </w:r>
      <w:r w:rsidR="005129A1" w:rsidRPr="004D6EA6">
        <w:t xml:space="preserve">used </w:t>
      </w:r>
      <w:r w:rsidRPr="004D6EA6">
        <w:t>for the Initial EFL placement.</w:t>
      </w:r>
      <w:r w:rsidR="005129A1" w:rsidRPr="004D6EA6">
        <w:t xml:space="preserve"> </w:t>
      </w:r>
    </w:p>
    <w:p w:rsidR="00D048D7" w:rsidRPr="004D6EA6" w:rsidRDefault="00D048D7" w:rsidP="009C6E03">
      <w:pPr>
        <w:pStyle w:val="ListParagraph"/>
        <w:numPr>
          <w:ilvl w:val="0"/>
          <w:numId w:val="5"/>
        </w:numPr>
        <w:spacing w:after="0"/>
      </w:pPr>
      <w:r w:rsidRPr="004D6EA6">
        <w:t>Students who make</w:t>
      </w:r>
      <w:r w:rsidR="004D6EA6" w:rsidRPr="004D6EA6">
        <w:t xml:space="preserve"> an</w:t>
      </w:r>
      <w:r w:rsidRPr="004D6EA6">
        <w:t xml:space="preserve"> </w:t>
      </w:r>
      <w:r w:rsidR="004D6EA6" w:rsidRPr="004D6EA6">
        <w:t xml:space="preserve">EFL and LCP learning gain </w:t>
      </w:r>
      <w:r w:rsidRPr="004D6EA6">
        <w:t xml:space="preserve">are reported in the higher EFL in the next reporting term. </w:t>
      </w:r>
    </w:p>
    <w:p w:rsidR="00D048D7" w:rsidRPr="004D6EA6" w:rsidRDefault="00D048D7" w:rsidP="009C6E03">
      <w:pPr>
        <w:pStyle w:val="ListParagraph"/>
        <w:numPr>
          <w:ilvl w:val="0"/>
          <w:numId w:val="5"/>
        </w:numPr>
        <w:spacing w:after="0"/>
      </w:pPr>
      <w:r w:rsidRPr="004D6EA6">
        <w:t>Students who do not make a</w:t>
      </w:r>
      <w:r w:rsidR="004D6EA6" w:rsidRPr="004D6EA6">
        <w:t>n</w:t>
      </w:r>
      <w:r w:rsidRPr="004D6EA6">
        <w:t xml:space="preserve"> </w:t>
      </w:r>
      <w:r w:rsidR="004D6EA6" w:rsidRPr="004D6EA6">
        <w:t xml:space="preserve">EFL or LCP </w:t>
      </w:r>
      <w:r w:rsidRPr="004D6EA6">
        <w:t xml:space="preserve">learning </w:t>
      </w:r>
      <w:r w:rsidR="004D6EA6" w:rsidRPr="004D6EA6">
        <w:t xml:space="preserve">gain </w:t>
      </w:r>
      <w:r w:rsidR="008A3EA4" w:rsidRPr="004D6EA6">
        <w:t xml:space="preserve">or </w:t>
      </w:r>
      <w:r w:rsidR="008A3EA4">
        <w:t xml:space="preserve">score into </w:t>
      </w:r>
      <w:r w:rsidR="008A3EA4" w:rsidRPr="004D6EA6">
        <w:t xml:space="preserve">a lower </w:t>
      </w:r>
      <w:r w:rsidR="004D6EA6" w:rsidRPr="004D6EA6">
        <w:t>EFL</w:t>
      </w:r>
      <w:r w:rsidRPr="004D6EA6">
        <w:t xml:space="preserve"> should continue to be reported in the same EFL in the next reporting term.</w:t>
      </w:r>
    </w:p>
    <w:p w:rsidR="00D048D7" w:rsidRDefault="00D048D7" w:rsidP="009C6E03">
      <w:pPr>
        <w:pStyle w:val="ListParagraph"/>
        <w:numPr>
          <w:ilvl w:val="0"/>
          <w:numId w:val="5"/>
        </w:numPr>
        <w:spacing w:after="0"/>
      </w:pPr>
      <w:r w:rsidRPr="004D6EA6">
        <w:t xml:space="preserve">Students previously or currently enrolled in ESOL or ELCATE who </w:t>
      </w:r>
      <w:r w:rsidR="004D6EA6" w:rsidRPr="004D6EA6">
        <w:t xml:space="preserve">test </w:t>
      </w:r>
      <w:r w:rsidRPr="004D6EA6">
        <w:t xml:space="preserve">out of the course based on the reading </w:t>
      </w:r>
      <w:r w:rsidR="004D6EA6" w:rsidRPr="004D6EA6">
        <w:t>score</w:t>
      </w:r>
      <w:r w:rsidRPr="004D6EA6">
        <w:t xml:space="preserve"> should not be re-enrolled using the listening score.</w:t>
      </w:r>
      <w:r w:rsidR="00594F11">
        <w:t xml:space="preserve"> Students who</w:t>
      </w:r>
      <w:r w:rsidR="00594F11" w:rsidRPr="004D6EA6">
        <w:t xml:space="preserve"> test</w:t>
      </w:r>
      <w:r w:rsidR="00594F11">
        <w:t xml:space="preserve"> out of the program should be </w:t>
      </w:r>
      <w:r w:rsidR="00594F11" w:rsidRPr="004D6EA6">
        <w:t>exited from the course based on the test date.</w:t>
      </w:r>
    </w:p>
    <w:p w:rsidR="009C6E03" w:rsidRPr="004D6EA6" w:rsidRDefault="009C6E03" w:rsidP="009C6E03">
      <w:pPr>
        <w:spacing w:after="0"/>
      </w:pPr>
    </w:p>
    <w:p w:rsidR="009C6E03" w:rsidRPr="0097555C" w:rsidRDefault="0097555C" w:rsidP="009C6E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Continuous Enrollment - </w:t>
      </w:r>
      <w:r w:rsidR="005C2560" w:rsidRPr="0097555C">
        <w:rPr>
          <w:b/>
          <w:sz w:val="24"/>
          <w:szCs w:val="24"/>
        </w:rPr>
        <w:t>A</w:t>
      </w:r>
      <w:r w:rsidR="005129A1" w:rsidRPr="0097555C">
        <w:rPr>
          <w:b/>
          <w:sz w:val="24"/>
          <w:szCs w:val="24"/>
        </w:rPr>
        <w:t xml:space="preserve">ll other </w:t>
      </w:r>
      <w:r w:rsidR="00A74AE2">
        <w:rPr>
          <w:b/>
          <w:sz w:val="24"/>
          <w:szCs w:val="24"/>
        </w:rPr>
        <w:t xml:space="preserve">adult education </w:t>
      </w:r>
      <w:r w:rsidR="005129A1" w:rsidRPr="0097555C">
        <w:rPr>
          <w:b/>
          <w:sz w:val="24"/>
          <w:szCs w:val="24"/>
        </w:rPr>
        <w:t>assessments</w:t>
      </w:r>
      <w:r w:rsidR="009C6E03" w:rsidRPr="0097555C">
        <w:rPr>
          <w:b/>
          <w:sz w:val="24"/>
          <w:szCs w:val="24"/>
        </w:rPr>
        <w:t>:</w:t>
      </w:r>
    </w:p>
    <w:p w:rsidR="009C6E03" w:rsidRDefault="005129A1" w:rsidP="009C6E03">
      <w:pPr>
        <w:pStyle w:val="ListParagraph"/>
        <w:numPr>
          <w:ilvl w:val="0"/>
          <w:numId w:val="1"/>
        </w:numPr>
        <w:spacing w:after="0"/>
      </w:pPr>
      <w:r w:rsidRPr="004D6EA6">
        <w:t>Student should be placed based on pre</w:t>
      </w:r>
      <w:r w:rsidR="0059607A">
        <w:t>-</w:t>
      </w:r>
      <w:r w:rsidRPr="004D6EA6">
        <w:t xml:space="preserve">test scores. </w:t>
      </w:r>
    </w:p>
    <w:p w:rsidR="008A3EA4" w:rsidRPr="004D6EA6" w:rsidRDefault="008A3EA4" w:rsidP="008A3EA4">
      <w:pPr>
        <w:pStyle w:val="ListParagraph"/>
        <w:numPr>
          <w:ilvl w:val="0"/>
          <w:numId w:val="1"/>
        </w:numPr>
        <w:spacing w:after="0"/>
      </w:pPr>
      <w:r w:rsidRPr="004D6EA6">
        <w:t>EFL and LCP</w:t>
      </w:r>
      <w:r>
        <w:t xml:space="preserve"> learning gains</w:t>
      </w:r>
      <w:r w:rsidRPr="004D6EA6">
        <w:t xml:space="preserve"> </w:t>
      </w:r>
      <w:r>
        <w:t xml:space="preserve">are calculated based on the test score in the same skill area used for </w:t>
      </w:r>
      <w:r w:rsidRPr="004D6EA6">
        <w:t>the Initial EFL placement</w:t>
      </w:r>
      <w:r w:rsidR="00707D3E">
        <w:t xml:space="preserve"> </w:t>
      </w:r>
      <w:r>
        <w:t>(</w:t>
      </w:r>
      <w:r w:rsidR="00707D3E">
        <w:t>s</w:t>
      </w:r>
      <w:r w:rsidRPr="004D6EA6">
        <w:t>ee the Adult Education Assessment Technical Assistance Paper for guidance</w:t>
      </w:r>
      <w:r>
        <w:t>)</w:t>
      </w:r>
      <w:r w:rsidR="00707D3E">
        <w:t>.</w:t>
      </w:r>
    </w:p>
    <w:p w:rsidR="009C6E03" w:rsidRPr="004D6EA6" w:rsidRDefault="009C6E03" w:rsidP="009C6E03">
      <w:pPr>
        <w:pStyle w:val="ListParagraph"/>
        <w:numPr>
          <w:ilvl w:val="0"/>
          <w:numId w:val="1"/>
        </w:numPr>
        <w:spacing w:after="0"/>
      </w:pPr>
      <w:r w:rsidRPr="004D6EA6">
        <w:t xml:space="preserve">Students who make an EFL and LCP learning gain are reported in the higher EFL in the next reporting term. </w:t>
      </w:r>
    </w:p>
    <w:p w:rsidR="009C6E03" w:rsidRPr="004D6EA6" w:rsidRDefault="009C6E03" w:rsidP="009C6E03">
      <w:pPr>
        <w:pStyle w:val="ListParagraph"/>
        <w:numPr>
          <w:ilvl w:val="0"/>
          <w:numId w:val="1"/>
        </w:numPr>
        <w:spacing w:after="0"/>
      </w:pPr>
      <w:r w:rsidRPr="004D6EA6">
        <w:lastRenderedPageBreak/>
        <w:t xml:space="preserve">Students who do not make an EFL or LCP learning gain </w:t>
      </w:r>
      <w:r w:rsidR="008A3EA4" w:rsidRPr="004D6EA6">
        <w:t xml:space="preserve">or </w:t>
      </w:r>
      <w:r w:rsidR="008A3EA4">
        <w:t xml:space="preserve">score into </w:t>
      </w:r>
      <w:r w:rsidR="008A3EA4" w:rsidRPr="004D6EA6">
        <w:t xml:space="preserve">a lower </w:t>
      </w:r>
      <w:r w:rsidRPr="004D6EA6">
        <w:t>EFL should continue to be reported in the same EFL in the next reporting term.</w:t>
      </w:r>
    </w:p>
    <w:p w:rsidR="009C6E03" w:rsidRDefault="009C6E03" w:rsidP="003B76F2">
      <w:pPr>
        <w:pStyle w:val="ListParagraph"/>
        <w:numPr>
          <w:ilvl w:val="0"/>
          <w:numId w:val="1"/>
        </w:numPr>
        <w:spacing w:after="0"/>
      </w:pPr>
      <w:r>
        <w:t>Students who have</w:t>
      </w:r>
      <w:r w:rsidR="0024704C" w:rsidRPr="004D6EA6">
        <w:t xml:space="preserve"> tested out of the program</w:t>
      </w:r>
      <w:r>
        <w:t xml:space="preserve"> are</w:t>
      </w:r>
      <w:r w:rsidR="0024704C" w:rsidRPr="004D6EA6">
        <w:t xml:space="preserve"> exited from the course based on</w:t>
      </w:r>
      <w:r>
        <w:t xml:space="preserve"> the test date. For example, </w:t>
      </w:r>
      <w:r w:rsidR="0024704C" w:rsidRPr="004D6EA6">
        <w:t>Adult Basic Education (ABE) student</w:t>
      </w:r>
      <w:r>
        <w:t>s</w:t>
      </w:r>
      <w:r w:rsidR="0024704C" w:rsidRPr="004D6EA6">
        <w:t xml:space="preserve"> who </w:t>
      </w:r>
      <w:r>
        <w:t>post-test</w:t>
      </w:r>
      <w:r w:rsidR="0024704C" w:rsidRPr="004D6EA6">
        <w:t xml:space="preserve"> and score above 8.9 should have an exit date that reflects the qualifying test score date. A student who takes and passes the GED® should have an exit date </w:t>
      </w:r>
      <w:r>
        <w:t>that</w:t>
      </w:r>
      <w:r w:rsidR="0024704C" w:rsidRPr="004D6EA6">
        <w:t xml:space="preserve"> reflects the diploma date. </w:t>
      </w:r>
    </w:p>
    <w:p w:rsidR="009C6E03" w:rsidRPr="004D6EA6" w:rsidRDefault="009C6E03" w:rsidP="009C6E03">
      <w:pPr>
        <w:spacing w:after="0"/>
      </w:pPr>
    </w:p>
    <w:p w:rsidR="00490A74" w:rsidRPr="004D6EA6" w:rsidRDefault="00490A74" w:rsidP="009C6E03">
      <w:pPr>
        <w:spacing w:after="0"/>
      </w:pPr>
    </w:p>
    <w:sectPr w:rsidR="00490A74" w:rsidRPr="004D6EA6" w:rsidSect="003B76F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8C" w:rsidRDefault="0071748C" w:rsidP="00DB69C3">
      <w:pPr>
        <w:spacing w:after="0" w:line="240" w:lineRule="auto"/>
      </w:pPr>
      <w:r>
        <w:separator/>
      </w:r>
    </w:p>
  </w:endnote>
  <w:endnote w:type="continuationSeparator" w:id="0">
    <w:p w:rsidR="0071748C" w:rsidRDefault="0071748C" w:rsidP="00DB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8C" w:rsidRDefault="0071748C" w:rsidP="00DB69C3">
      <w:pPr>
        <w:spacing w:after="0" w:line="240" w:lineRule="auto"/>
      </w:pPr>
      <w:r>
        <w:separator/>
      </w:r>
    </w:p>
  </w:footnote>
  <w:footnote w:type="continuationSeparator" w:id="0">
    <w:p w:rsidR="0071748C" w:rsidRDefault="0071748C" w:rsidP="00DB69C3">
      <w:pPr>
        <w:spacing w:after="0" w:line="240" w:lineRule="auto"/>
      </w:pPr>
      <w:r>
        <w:continuationSeparator/>
      </w:r>
    </w:p>
  </w:footnote>
  <w:footnote w:id="1">
    <w:p w:rsidR="00DB69C3" w:rsidRDefault="00DB69C3">
      <w:pPr>
        <w:pStyle w:val="FootnoteText"/>
      </w:pPr>
      <w:r>
        <w:rPr>
          <w:rStyle w:val="FootnoteReference"/>
        </w:rPr>
        <w:footnoteRef/>
      </w:r>
      <w:r>
        <w:t xml:space="preserve"> Out of range scores should not be used to </w:t>
      </w:r>
      <w:r w:rsidRPr="0059607A">
        <w:t xml:space="preserve">report </w:t>
      </w:r>
      <w:r w:rsidR="0055784E" w:rsidRPr="0059607A">
        <w:t>EFL</w:t>
      </w:r>
      <w:r w:rsidR="00C24C80" w:rsidRPr="0059607A">
        <w:t xml:space="preserve">s </w:t>
      </w:r>
      <w:r w:rsidR="0055784E" w:rsidRPr="0059607A">
        <w:t>LCP</w:t>
      </w:r>
      <w:r w:rsidR="00C24C80" w:rsidRPr="0059607A">
        <w:t>s</w:t>
      </w:r>
      <w:r w:rsidRPr="0059607A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129"/>
    <w:multiLevelType w:val="hybridMultilevel"/>
    <w:tmpl w:val="1952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4185"/>
    <w:multiLevelType w:val="hybridMultilevel"/>
    <w:tmpl w:val="9EBC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970"/>
    <w:multiLevelType w:val="hybridMultilevel"/>
    <w:tmpl w:val="D5B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68C9"/>
    <w:multiLevelType w:val="hybridMultilevel"/>
    <w:tmpl w:val="6AE0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5D18"/>
    <w:multiLevelType w:val="hybridMultilevel"/>
    <w:tmpl w:val="6A4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6C8F"/>
    <w:multiLevelType w:val="hybridMultilevel"/>
    <w:tmpl w:val="0F26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23E2"/>
    <w:multiLevelType w:val="hybridMultilevel"/>
    <w:tmpl w:val="AC28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91"/>
    <w:rsid w:val="000253B3"/>
    <w:rsid w:val="00036909"/>
    <w:rsid w:val="00043657"/>
    <w:rsid w:val="000626AB"/>
    <w:rsid w:val="000E3538"/>
    <w:rsid w:val="001C5C26"/>
    <w:rsid w:val="001E4A72"/>
    <w:rsid w:val="001E5DE0"/>
    <w:rsid w:val="001F6EFD"/>
    <w:rsid w:val="00223F29"/>
    <w:rsid w:val="0024704C"/>
    <w:rsid w:val="0031054C"/>
    <w:rsid w:val="00327042"/>
    <w:rsid w:val="003A5A0E"/>
    <w:rsid w:val="003A669C"/>
    <w:rsid w:val="003B76F2"/>
    <w:rsid w:val="003C13F7"/>
    <w:rsid w:val="00490A74"/>
    <w:rsid w:val="004D6EA6"/>
    <w:rsid w:val="005129A1"/>
    <w:rsid w:val="00522166"/>
    <w:rsid w:val="00522379"/>
    <w:rsid w:val="0055784E"/>
    <w:rsid w:val="00594F11"/>
    <w:rsid w:val="0059607A"/>
    <w:rsid w:val="005C2066"/>
    <w:rsid w:val="005C2560"/>
    <w:rsid w:val="005D2069"/>
    <w:rsid w:val="006B630D"/>
    <w:rsid w:val="00703F11"/>
    <w:rsid w:val="00707D3E"/>
    <w:rsid w:val="0071748C"/>
    <w:rsid w:val="00867EEC"/>
    <w:rsid w:val="00873BAF"/>
    <w:rsid w:val="00883650"/>
    <w:rsid w:val="008A3EA4"/>
    <w:rsid w:val="008D355D"/>
    <w:rsid w:val="009032A8"/>
    <w:rsid w:val="009275E1"/>
    <w:rsid w:val="009750BC"/>
    <w:rsid w:val="0097555C"/>
    <w:rsid w:val="009C6E03"/>
    <w:rsid w:val="009D0BB5"/>
    <w:rsid w:val="009D1E0B"/>
    <w:rsid w:val="009D607C"/>
    <w:rsid w:val="00A74816"/>
    <w:rsid w:val="00A74AE2"/>
    <w:rsid w:val="00AF6755"/>
    <w:rsid w:val="00B3370F"/>
    <w:rsid w:val="00BF153D"/>
    <w:rsid w:val="00C24C80"/>
    <w:rsid w:val="00C323CA"/>
    <w:rsid w:val="00CB3E1D"/>
    <w:rsid w:val="00CB47B9"/>
    <w:rsid w:val="00CD1116"/>
    <w:rsid w:val="00D048D7"/>
    <w:rsid w:val="00D4754E"/>
    <w:rsid w:val="00DB69C3"/>
    <w:rsid w:val="00E86EB9"/>
    <w:rsid w:val="00EA5DBC"/>
    <w:rsid w:val="00F21BD6"/>
    <w:rsid w:val="00F80E91"/>
    <w:rsid w:val="00FD3946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124DB-B675-4C85-AFAA-C6192057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6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9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9C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3B3"/>
    <w:rPr>
      <w:sz w:val="20"/>
      <w:szCs w:val="20"/>
    </w:rPr>
  </w:style>
  <w:style w:type="table" w:styleId="TableGrid">
    <w:name w:val="Table Grid"/>
    <w:basedOn w:val="TableNormal"/>
    <w:uiPriority w:val="39"/>
    <w:rsid w:val="001E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7648-D281-42FA-81B5-020BC2D3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Education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McLarnon, Tara</dc:creator>
  <cp:keywords/>
  <dc:description/>
  <cp:lastModifiedBy>Judy Martin-Hall</cp:lastModifiedBy>
  <cp:revision>2</cp:revision>
  <cp:lastPrinted>2016-03-28T16:58:00Z</cp:lastPrinted>
  <dcterms:created xsi:type="dcterms:W3CDTF">2016-03-30T14:57:00Z</dcterms:created>
  <dcterms:modified xsi:type="dcterms:W3CDTF">2016-03-30T14:57:00Z</dcterms:modified>
</cp:coreProperties>
</file>